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B" w:rsidRDefault="00A01EFD">
      <w:pPr>
        <w:widowControl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儿科学专业</w:t>
      </w:r>
    </w:p>
    <w:p w:rsidR="00C6548B" w:rsidRDefault="00A01EFD">
      <w:pPr>
        <w:spacing w:line="5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学制</w:t>
      </w:r>
      <w:r>
        <w:rPr>
          <w:rFonts w:ascii="黑体" w:eastAsia="黑体" w:hAnsi="黑体" w:cs="黑体" w:hint="eastAsia"/>
          <w:sz w:val="30"/>
          <w:szCs w:val="30"/>
        </w:rPr>
        <w:t xml:space="preserve">  </w:t>
      </w:r>
      <w:r>
        <w:rPr>
          <w:rFonts w:ascii="仿宋_GB2312" w:hAnsi="仿宋_GB2312" w:cs="仿宋_GB2312" w:hint="eastAsia"/>
          <w:sz w:val="30"/>
          <w:szCs w:val="30"/>
        </w:rPr>
        <w:t>五年</w:t>
      </w:r>
      <w:r>
        <w:rPr>
          <w:rFonts w:ascii="仿宋_GB2312" w:hAnsi="仿宋_GB2312" w:cs="仿宋_GB2312" w:hint="eastAsia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</w:rPr>
        <w:t>授予学位</w:t>
      </w:r>
      <w:bookmarkStart w:id="0" w:name="_GoBack"/>
      <w:bookmarkEnd w:id="0"/>
      <w:r>
        <w:rPr>
          <w:rFonts w:ascii="仿宋_GB2312" w:hAnsi="仿宋_GB2312" w:cs="仿宋_GB2312" w:hint="eastAsia"/>
          <w:sz w:val="30"/>
          <w:szCs w:val="30"/>
        </w:rPr>
        <w:t>医学学士</w:t>
      </w:r>
    </w:p>
    <w:p w:rsidR="00C6548B" w:rsidRDefault="00A01EFD" w:rsidP="00073A5C">
      <w:pPr>
        <w:spacing w:beforeLines="20" w:afterLines="20" w:line="360" w:lineRule="auto"/>
        <w:ind w:firstLineChars="200" w:firstLine="600"/>
        <w:rPr>
          <w:rFonts w:asciiTheme="majorEastAsia" w:eastAsiaTheme="majorEastAsia" w:hAnsiTheme="majorEastAsia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培养目标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培养德智体美劳全面发展、适应我国社会主义现代化建设和医疗卫生事业发展需要，掌握系统专业知识和一定的自然科学与人文社会科学知识，了解科学研究基本方法，具有良好的社会责任感与职业素养、初步临床能力、终身学习能力、创新精神和国际视野的高素质应用型医学人才。毕业时能够在上级医师指导下从事安全有效的儿科学医疗卫生实践，具备进一步深造的扎实基础。</w:t>
      </w:r>
    </w:p>
    <w:p w:rsidR="00C6548B" w:rsidRDefault="00A01EFD" w:rsidP="00073A5C">
      <w:pPr>
        <w:spacing w:beforeLines="20" w:afterLines="20" w:line="360" w:lineRule="auto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主干学科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基础医学、临床医学</w:t>
      </w:r>
    </w:p>
    <w:p w:rsidR="00C6548B" w:rsidRDefault="00A01EFD" w:rsidP="00073A5C">
      <w:pPr>
        <w:spacing w:beforeLines="20" w:afterLines="20" w:line="360" w:lineRule="auto"/>
        <w:ind w:firstLineChars="200" w:firstLine="600"/>
        <w:rPr>
          <w:rFonts w:ascii="仿宋_GB2312" w:hAnsi="仿宋_GB2312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主要课程：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系统解剖学、组织学与胚胎学、生理学、生物化学与分子生物学、局部解剖学、医学免疫学、病原生物学、医学遗传学、病理生理学、药理学、病理学；</w:t>
      </w:r>
    </w:p>
    <w:p w:rsidR="00C6548B" w:rsidRDefault="00A01EFD" w:rsidP="00073A5C">
      <w:pPr>
        <w:spacing w:beforeLines="20" w:afterLines="20" w:line="360" w:lineRule="auto"/>
        <w:ind w:firstLineChars="200" w:firstLine="600"/>
        <w:rPr>
          <w:rFonts w:ascii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检体诊断学、实验诊断学、外科学总论、医学影像诊断学、核医学、全科医学概论、中医学、内科学、外科学、妇产科学、小儿内科学、小儿外科学、儿童保健学、小儿传染病学、神经病学、耳鼻咽喉头颈外科学、皮肤性病学、精神病学；</w:t>
      </w:r>
    </w:p>
    <w:p w:rsidR="00C6548B" w:rsidRDefault="00A01EFD" w:rsidP="00073A5C">
      <w:pPr>
        <w:spacing w:beforeLines="20" w:afterLines="20" w:line="360" w:lineRule="auto"/>
        <w:ind w:firstLineChars="200" w:firstLine="600"/>
        <w:rPr>
          <w:rFonts w:ascii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医学统计学、预防医学（含流行病学）、循证医学；</w:t>
      </w:r>
    </w:p>
    <w:p w:rsidR="00C6548B" w:rsidRDefault="00A01EFD" w:rsidP="00073A5C">
      <w:pPr>
        <w:spacing w:beforeLines="20" w:afterLines="20" w:line="360" w:lineRule="auto"/>
        <w:ind w:firstLineChars="200" w:firstLine="600"/>
        <w:rPr>
          <w:rFonts w:ascii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医学心理学、卫生法学、医学伦理学。</w:t>
      </w:r>
    </w:p>
    <w:p w:rsidR="00C6548B" w:rsidRDefault="00A01EFD">
      <w:pPr>
        <w:ind w:rightChars="-51" w:right="-107" w:firstLineChars="187" w:firstLine="561"/>
        <w:rPr>
          <w:rFonts w:ascii="宋体" w:eastAsia="宋体" w:hAnsi="宋体" w:cs="仿宋_GB2312"/>
          <w:color w:val="FF0000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专业优势与特色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自建校以来儿科学就是我校的一门重要学科，儿科学教研室率先开展了“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以病例讨论为导向，改革临床医学《儿科学》理论和见习教学模式的研究”，早在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 xml:space="preserve"> 1999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年就被确定为山东省省级教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lastRenderedPageBreak/>
        <w:t>学改革试点课程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获得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2009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年山东省省级优秀教学成果二等奖。自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2012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年先后获得省级教学团队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儿科学系列省级精品课程和校级优秀课程，院级教学创新团队。作为主编、副主编参编多部儿科学教材，其中案例版《儿科学》教材在医学高等院校，全国推广。儿科学教学团队师资力量雄厚，教学经验丰富，现有授课教师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60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余名，教授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8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人，副教授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6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人，均为硕士及以上学历，山东省教学名师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2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人。不断从教学理念、方法、手段、模式上对《儿科学》课程进行改革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 xml:space="preserve">, 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进行了包括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PBL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教学、双语教学、病案教学在内的一系列《儿科学》教学全面改革，重视教学思想和教学理念的转变。自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2016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年开始招收临床医学儿科学方向本科生，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2018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年开始招收儿科学专业本科生，目前已招收儿科专业方向本科生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2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00</w:t>
      </w:r>
      <w:r>
        <w:rPr>
          <w:rFonts w:ascii="仿宋_GB2312" w:hAnsi="仿宋_GB2312" w:cs="仿宋_GB2312" w:hint="eastAsia"/>
          <w:color w:val="000000" w:themeColor="text1"/>
          <w:sz w:val="30"/>
          <w:szCs w:val="30"/>
        </w:rPr>
        <w:t>余人。</w:t>
      </w:r>
    </w:p>
    <w:p w:rsidR="00C6548B" w:rsidRDefault="00A01EFD">
      <w:pPr>
        <w:spacing w:line="560" w:lineRule="exact"/>
        <w:ind w:firstLineChars="200" w:firstLine="600"/>
        <w:rPr>
          <w:rFonts w:ascii="宋体" w:eastAsia="宋体" w:hAnsi="宋体"/>
          <w:color w:val="333333"/>
          <w:spacing w:val="12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30"/>
          <w:szCs w:val="30"/>
        </w:rPr>
        <w:t>就业方向及形势</w:t>
      </w:r>
      <w:r w:rsidR="00073A5C">
        <w:rPr>
          <w:rFonts w:ascii="黑体" w:eastAsia="黑体" w:hAnsi="黑体" w:cs="黑体" w:hint="eastAsia"/>
          <w:sz w:val="30"/>
          <w:szCs w:val="30"/>
        </w:rPr>
        <w:t xml:space="preserve">  </w:t>
      </w:r>
      <w:r>
        <w:rPr>
          <w:rFonts w:ascii="宋体" w:eastAsia="宋体" w:hAnsi="宋体" w:cs="仿宋_GB2312" w:hint="eastAsia"/>
          <w:sz w:val="30"/>
          <w:szCs w:val="30"/>
        </w:rPr>
        <w:t>随着国家</w:t>
      </w:r>
      <w:r w:rsidR="00073A5C">
        <w:rPr>
          <w:rFonts w:ascii="宋体" w:eastAsia="宋体" w:hAnsi="宋体" w:cs="仿宋_GB2312" w:hint="eastAsia"/>
          <w:sz w:val="30"/>
          <w:szCs w:val="30"/>
        </w:rPr>
        <w:t>三孩生育</w:t>
      </w:r>
      <w:r>
        <w:rPr>
          <w:rFonts w:ascii="宋体" w:eastAsia="宋体" w:hAnsi="宋体" w:cs="仿宋_GB2312" w:hint="eastAsia"/>
          <w:sz w:val="30"/>
          <w:szCs w:val="30"/>
        </w:rPr>
        <w:t>政策的放开及社会对儿科医疗服务的需求日益增长，</w:t>
      </w:r>
      <w:r>
        <w:rPr>
          <w:rFonts w:ascii="宋体" w:eastAsia="宋体" w:hAnsi="宋体" w:cs="仿宋_GB2312" w:hint="eastAsia"/>
          <w:sz w:val="28"/>
          <w:szCs w:val="28"/>
        </w:rPr>
        <w:t xml:space="preserve"> 2018</w:t>
      </w:r>
      <w:r>
        <w:rPr>
          <w:rFonts w:ascii="宋体" w:eastAsia="宋体" w:hAnsi="宋体" w:cs="仿宋_GB2312" w:hint="eastAsia"/>
          <w:sz w:val="28"/>
          <w:szCs w:val="28"/>
        </w:rPr>
        <w:t>年国家儿童医学中心发布我国拥有儿科医师</w:t>
      </w:r>
      <w:r>
        <w:rPr>
          <w:rFonts w:ascii="宋体" w:eastAsia="宋体" w:hAnsi="宋体" w:cs="仿宋_GB2312" w:hint="eastAsia"/>
          <w:sz w:val="28"/>
          <w:szCs w:val="28"/>
        </w:rPr>
        <w:t>23</w:t>
      </w:r>
      <w:r>
        <w:rPr>
          <w:rFonts w:ascii="宋体" w:eastAsia="宋体" w:hAnsi="宋体" w:cs="仿宋_GB2312" w:hint="eastAsia"/>
          <w:sz w:val="28"/>
          <w:szCs w:val="28"/>
        </w:rPr>
        <w:t>万，每</w:t>
      </w:r>
      <w:r>
        <w:rPr>
          <w:rFonts w:ascii="宋体" w:eastAsia="宋体" w:hAnsi="宋体" w:cs="仿宋_GB2312" w:hint="eastAsia"/>
          <w:sz w:val="28"/>
          <w:szCs w:val="28"/>
        </w:rPr>
        <w:t>1000</w:t>
      </w:r>
      <w:r>
        <w:rPr>
          <w:rFonts w:ascii="宋体" w:eastAsia="宋体" w:hAnsi="宋体" w:cs="仿宋_GB2312" w:hint="eastAsia"/>
          <w:sz w:val="28"/>
          <w:szCs w:val="28"/>
        </w:rPr>
        <w:t>个孩子仅有</w:t>
      </w:r>
      <w:r>
        <w:rPr>
          <w:rFonts w:ascii="宋体" w:eastAsia="宋体" w:hAnsi="宋体" w:cs="仿宋_GB2312" w:hint="eastAsia"/>
          <w:sz w:val="28"/>
          <w:szCs w:val="28"/>
        </w:rPr>
        <w:t>0.92</w:t>
      </w:r>
      <w:r>
        <w:rPr>
          <w:rFonts w:ascii="宋体" w:eastAsia="宋体" w:hAnsi="宋体" w:cs="仿宋_GB2312" w:hint="eastAsia"/>
          <w:sz w:val="28"/>
          <w:szCs w:val="28"/>
        </w:rPr>
        <w:t>名儿科医生，</w:t>
      </w:r>
      <w:r>
        <w:rPr>
          <w:rFonts w:ascii="宋体" w:eastAsia="宋体" w:hAnsi="宋体" w:cs="仿宋_GB2312" w:hint="eastAsia"/>
          <w:sz w:val="28"/>
          <w:szCs w:val="28"/>
        </w:rPr>
        <w:t>儿童医疗供需矛盾仍明显，</w:t>
      </w:r>
      <w:r>
        <w:rPr>
          <w:rFonts w:ascii="宋体" w:eastAsia="宋体" w:hAnsi="宋体" w:cs="仿宋_GB2312" w:hint="eastAsia"/>
          <w:color w:val="000000" w:themeColor="text1"/>
          <w:sz w:val="28"/>
          <w:szCs w:val="28"/>
        </w:rPr>
        <w:t>儿科医生缺口大</w:t>
      </w:r>
      <w:r>
        <w:rPr>
          <w:rFonts w:ascii="宋体" w:eastAsia="宋体" w:hAnsi="宋体" w:cs="仿宋_GB2312" w:hint="eastAsia"/>
          <w:sz w:val="28"/>
          <w:szCs w:val="28"/>
        </w:rPr>
        <w:t>，就业形势乐观。</w:t>
      </w:r>
      <w:r>
        <w:rPr>
          <w:rFonts w:ascii="宋体" w:eastAsia="宋体" w:hAnsi="宋体" w:hint="eastAsia"/>
          <w:color w:val="333333"/>
          <w:spacing w:val="12"/>
          <w:sz w:val="28"/>
          <w:szCs w:val="28"/>
          <w:shd w:val="clear" w:color="auto" w:fill="FFFFFF"/>
        </w:rPr>
        <w:t>儿科学专业毕业生可以到各级医疗卫生单位从事儿科相关的医疗、保健、预防、教学等工作。</w:t>
      </w:r>
    </w:p>
    <w:p w:rsidR="00C6548B" w:rsidRDefault="00C6548B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C6548B" w:rsidSect="00C6548B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FD" w:rsidRDefault="00A01EFD" w:rsidP="00073A5C">
      <w:r>
        <w:separator/>
      </w:r>
    </w:p>
  </w:endnote>
  <w:endnote w:type="continuationSeparator" w:id="1">
    <w:p w:rsidR="00A01EFD" w:rsidRDefault="00A01EFD" w:rsidP="0007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FD" w:rsidRDefault="00A01EFD" w:rsidP="00073A5C">
      <w:r>
        <w:separator/>
      </w:r>
    </w:p>
  </w:footnote>
  <w:footnote w:type="continuationSeparator" w:id="1">
    <w:p w:rsidR="00A01EFD" w:rsidRDefault="00A01EFD" w:rsidP="0007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FF3"/>
    <w:rsid w:val="00063706"/>
    <w:rsid w:val="00073A5C"/>
    <w:rsid w:val="000902EC"/>
    <w:rsid w:val="000E5144"/>
    <w:rsid w:val="000E53CD"/>
    <w:rsid w:val="000F5DE1"/>
    <w:rsid w:val="001B1C60"/>
    <w:rsid w:val="00214A0B"/>
    <w:rsid w:val="002504C5"/>
    <w:rsid w:val="002510A6"/>
    <w:rsid w:val="002C4BE8"/>
    <w:rsid w:val="0030369C"/>
    <w:rsid w:val="00342BF7"/>
    <w:rsid w:val="0039609A"/>
    <w:rsid w:val="003A0E96"/>
    <w:rsid w:val="003B4B7E"/>
    <w:rsid w:val="003F3E97"/>
    <w:rsid w:val="004608E2"/>
    <w:rsid w:val="00484D13"/>
    <w:rsid w:val="00516D80"/>
    <w:rsid w:val="005476E8"/>
    <w:rsid w:val="005856DA"/>
    <w:rsid w:val="00594D68"/>
    <w:rsid w:val="00615FF3"/>
    <w:rsid w:val="006278F8"/>
    <w:rsid w:val="00652CBC"/>
    <w:rsid w:val="00683E43"/>
    <w:rsid w:val="006C1C0E"/>
    <w:rsid w:val="006F4897"/>
    <w:rsid w:val="00712695"/>
    <w:rsid w:val="00754B2E"/>
    <w:rsid w:val="00767886"/>
    <w:rsid w:val="007A1345"/>
    <w:rsid w:val="007B084D"/>
    <w:rsid w:val="007F7D95"/>
    <w:rsid w:val="00822579"/>
    <w:rsid w:val="00974348"/>
    <w:rsid w:val="00991EF2"/>
    <w:rsid w:val="009B56A9"/>
    <w:rsid w:val="009C71A5"/>
    <w:rsid w:val="00A01EFD"/>
    <w:rsid w:val="00A909F2"/>
    <w:rsid w:val="00AA3754"/>
    <w:rsid w:val="00B10BB5"/>
    <w:rsid w:val="00BC0A41"/>
    <w:rsid w:val="00C6548B"/>
    <w:rsid w:val="00C84551"/>
    <w:rsid w:val="00CC3B2D"/>
    <w:rsid w:val="00CE4694"/>
    <w:rsid w:val="00DC1D4B"/>
    <w:rsid w:val="00DE66A7"/>
    <w:rsid w:val="00DF617E"/>
    <w:rsid w:val="00E80225"/>
    <w:rsid w:val="00E92450"/>
    <w:rsid w:val="00F0016A"/>
    <w:rsid w:val="00FD0F14"/>
    <w:rsid w:val="00FE3E47"/>
    <w:rsid w:val="011E6BA1"/>
    <w:rsid w:val="0485550F"/>
    <w:rsid w:val="060750AB"/>
    <w:rsid w:val="0608773F"/>
    <w:rsid w:val="08A47991"/>
    <w:rsid w:val="1E1441E7"/>
    <w:rsid w:val="20B9715F"/>
    <w:rsid w:val="28A64E9F"/>
    <w:rsid w:val="2B5D2199"/>
    <w:rsid w:val="30FC5745"/>
    <w:rsid w:val="317717E1"/>
    <w:rsid w:val="39653DF9"/>
    <w:rsid w:val="3FD6085F"/>
    <w:rsid w:val="3FE56A4B"/>
    <w:rsid w:val="41676080"/>
    <w:rsid w:val="42781080"/>
    <w:rsid w:val="44455FBC"/>
    <w:rsid w:val="46E24299"/>
    <w:rsid w:val="494A424B"/>
    <w:rsid w:val="4F4E4D1E"/>
    <w:rsid w:val="5AD2123F"/>
    <w:rsid w:val="6216486D"/>
    <w:rsid w:val="6E651D94"/>
    <w:rsid w:val="71AE1B24"/>
    <w:rsid w:val="752E5E27"/>
    <w:rsid w:val="79E2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6548B"/>
    <w:rPr>
      <w:sz w:val="18"/>
      <w:szCs w:val="18"/>
    </w:rPr>
  </w:style>
  <w:style w:type="paragraph" w:styleId="a4">
    <w:name w:val="footer"/>
    <w:basedOn w:val="a"/>
    <w:link w:val="Char0"/>
    <w:qFormat/>
    <w:rsid w:val="00C6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6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C6548B"/>
    <w:rPr>
      <w:color w:val="333333"/>
      <w:u w:val="none"/>
    </w:rPr>
  </w:style>
  <w:style w:type="character" w:styleId="a7">
    <w:name w:val="Hyperlink"/>
    <w:basedOn w:val="a0"/>
    <w:qFormat/>
    <w:rsid w:val="00C6548B"/>
    <w:rPr>
      <w:color w:val="333333"/>
      <w:u w:val="none"/>
    </w:rPr>
  </w:style>
  <w:style w:type="character" w:customStyle="1" w:styleId="Char1">
    <w:name w:val="页眉 Char"/>
    <w:basedOn w:val="a0"/>
    <w:link w:val="a5"/>
    <w:qFormat/>
    <w:rsid w:val="00C654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654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654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860</Characters>
  <Application>Microsoft Office Word</Application>
  <DocSecurity>0</DocSecurity>
  <Lines>7</Lines>
  <Paragraphs>2</Paragraphs>
  <ScaleCrop>false</ScaleCrop>
  <Company>微软中国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47</cp:revision>
  <cp:lastPrinted>2019-02-25T07:32:00Z</cp:lastPrinted>
  <dcterms:created xsi:type="dcterms:W3CDTF">2014-10-29T12:08:00Z</dcterms:created>
  <dcterms:modified xsi:type="dcterms:W3CDTF">2021-06-09T03:07:00Z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A6AB0DD3C8D2447F8CDA4B63BE32737E</vt:lpwstr>
  </property>
</Properties>
</file>